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bidi w:val="0"/>
        <w:rPr>
          <w:rFonts w:hint="default" w:asciiTheme="minorHAnsi" w:hAnsiTheme="minorHAnsi" w:eastAsiaTheme="minorEastAsia" w:cstheme="minorBidi"/>
          <w:color w:val="000000" w:themeColor="text1"/>
          <w:kern w:val="2"/>
          <w:sz w:val="21"/>
          <w:szCs w:val="24"/>
          <w:lang w:val="en-US" w:eastAsia="zh-CN" w:bidi="ar-SA"/>
          <w14:textFill>
            <w14:solidFill>
              <w14:schemeClr w14:val="tx1"/>
            </w14:solidFill>
          </w14:textFill>
        </w:rPr>
      </w:pPr>
      <w:r>
        <w:rPr>
          <w:rFonts w:hint="eastAsia" w:cstheme="minorBidi"/>
          <w:color w:val="000000" w:themeColor="text1"/>
          <w:kern w:val="2"/>
          <w:sz w:val="21"/>
          <w:szCs w:val="24"/>
          <w:lang w:val="en-US" w:eastAsia="zh-CN" w:bidi="ar-SA"/>
          <w14:textFill>
            <w14:solidFill>
              <w14:schemeClr w14:val="tx1"/>
            </w14:solidFill>
          </w14:textFill>
        </w:rPr>
        <w:t xml:space="preserve">  </w:t>
      </w:r>
    </w:p>
    <w:p>
      <w:pPr>
        <w:bidi w:val="0"/>
        <w:rPr>
          <w:lang w:val="en-US" w:eastAsia="zh-CN"/>
        </w:rPr>
      </w:pPr>
    </w:p>
    <w:p>
      <w:pPr>
        <w:bidi w:val="0"/>
        <w:jc w:val="left"/>
        <w:rPr>
          <w:rFonts w:hint="eastAsia"/>
          <w:lang w:val="en-US" w:eastAsia="zh-CN"/>
        </w:rPr>
      </w:pPr>
      <w:r>
        <w:rPr>
          <w:rFonts w:hint="eastAsia"/>
          <w:lang w:val="en-US" w:eastAsia="zh-CN"/>
        </w:rPr>
        <w:t xml:space="preserve">                                             </w:t>
      </w:r>
    </w:p>
    <w:tbl>
      <w:tblPr>
        <w:tblStyle w:val="5"/>
        <w:tblpPr w:leftFromText="180" w:rightFromText="180" w:vertAnchor="page" w:horzAnchor="page" w:tblpX="479" w:tblpY="2080"/>
        <w:tblOverlap w:val="never"/>
        <w:tblW w:w="113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513"/>
        <w:gridCol w:w="78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79" w:hRule="atLeast"/>
        </w:trPr>
        <w:tc>
          <w:tcPr>
            <w:tcW w:w="3513" w:type="dxa"/>
            <w:tcBorders>
              <w:right w:val="single" w:color="auto" w:sz="4" w:space="0"/>
            </w:tcBorders>
          </w:tcPr>
          <w:p>
            <w:pPr>
              <w:bidi w:val="0"/>
              <w:jc w:val="center"/>
              <w:rPr>
                <w:vertAlign w:val="baseline"/>
                <w:lang w:val="en-US" w:eastAsia="zh-CN"/>
              </w:rPr>
            </w:pPr>
            <w:r>
              <w:drawing>
                <wp:inline distT="0" distB="0" distL="114300" distR="114300">
                  <wp:extent cx="1891665" cy="3662680"/>
                  <wp:effectExtent l="0" t="0" r="13335" b="1397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5"/>
                          <a:stretch>
                            <a:fillRect/>
                          </a:stretch>
                        </pic:blipFill>
                        <pic:spPr>
                          <a:xfrm>
                            <a:off x="0" y="0"/>
                            <a:ext cx="1891665" cy="3662680"/>
                          </a:xfrm>
                          <a:prstGeom prst="rect">
                            <a:avLst/>
                          </a:prstGeom>
                          <a:noFill/>
                          <a:ln>
                            <a:noFill/>
                          </a:ln>
                        </pic:spPr>
                      </pic:pic>
                    </a:graphicData>
                  </a:graphic>
                </wp:inline>
              </w:drawing>
            </w:r>
          </w:p>
          <w:p>
            <w:pPr>
              <w:bidi w:val="0"/>
              <w:jc w:val="center"/>
            </w:pPr>
          </w:p>
          <w:p>
            <w:pPr>
              <w:bidi w:val="0"/>
              <w:jc w:val="left"/>
              <w:rPr>
                <w:rFonts w:hint="default" w:eastAsiaTheme="minorEastAsia"/>
                <w:lang w:val="en-US" w:eastAsia="zh-CN"/>
              </w:rPr>
            </w:pPr>
            <w:bookmarkStart w:id="0" w:name="_GoBack"/>
            <w:bookmarkEnd w:id="0"/>
          </w:p>
        </w:tc>
        <w:tc>
          <w:tcPr>
            <w:tcW w:w="7812" w:type="dxa"/>
            <w:tcBorders>
              <w:left w:val="single" w:color="auto" w:sz="4" w:space="0"/>
            </w:tcBorders>
          </w:tcPr>
          <w:p>
            <w:pPr>
              <w:bidi w:val="0"/>
              <w:jc w:val="left"/>
              <w:rPr>
                <w:rFonts w:hint="eastAsia"/>
                <w:b/>
                <w:bCs/>
                <w:vertAlign w:val="baseline"/>
                <w:lang w:val="en-US" w:eastAsia="zh-CN"/>
              </w:rPr>
            </w:pPr>
            <w:r>
              <w:rPr>
                <w:rFonts w:hint="eastAsia"/>
                <w:b/>
                <w:bCs/>
                <w:vertAlign w:val="baseline"/>
                <w:lang w:val="en-US" w:eastAsia="zh-CN"/>
              </w:rPr>
              <w:t xml:space="preserve"> 适应场所：</w:t>
            </w:r>
          </w:p>
          <w:p>
            <w:pPr>
              <w:bidi w:val="0"/>
              <w:jc w:val="left"/>
              <w:rPr>
                <w:rFonts w:hint="eastAsia"/>
                <w:sz w:val="18"/>
                <w:szCs w:val="18"/>
                <w:vertAlign w:val="baseline"/>
                <w:lang w:val="en-US" w:eastAsia="zh-CN"/>
              </w:rPr>
            </w:pPr>
            <w:r>
              <w:rPr>
                <w:rFonts w:hint="eastAsia"/>
                <w:sz w:val="18"/>
                <w:szCs w:val="18"/>
                <w:vertAlign w:val="baseline"/>
                <w:lang w:val="en-US" w:eastAsia="zh-CN"/>
              </w:rPr>
              <w:t xml:space="preserve">  高楼、通信铁塔、高压铁塔、雷达发射塔、电厂烟囱、冷却塔、桥梁、化工厂、停机坪、风力发电机、灯桩、浮标等相关需要警示场所。</w:t>
            </w:r>
          </w:p>
          <w:p>
            <w:pPr>
              <w:bidi w:val="0"/>
              <w:jc w:val="left"/>
              <w:rPr>
                <w:rFonts w:hint="eastAsia"/>
                <w:vertAlign w:val="baseline"/>
                <w:lang w:val="en-US" w:eastAsia="zh-CN"/>
              </w:rPr>
            </w:pPr>
            <w:r>
              <w:rPr>
                <w:rFonts w:hint="eastAsia"/>
                <w:vertAlign w:val="baseline"/>
                <w:lang w:val="en-US" w:eastAsia="zh-CN"/>
              </w:rPr>
              <w:t xml:space="preserve"> </w:t>
            </w:r>
          </w:p>
          <w:p>
            <w:pPr>
              <w:bidi w:val="0"/>
              <w:ind w:firstLine="211" w:firstLineChars="100"/>
              <w:jc w:val="left"/>
              <w:rPr>
                <w:rFonts w:hint="eastAsia"/>
                <w:b/>
                <w:bCs/>
                <w:vertAlign w:val="baseline"/>
                <w:lang w:val="en-US" w:eastAsia="zh-CN"/>
              </w:rPr>
            </w:pPr>
            <w:r>
              <w:rPr>
                <w:rFonts w:hint="eastAsia"/>
                <w:b/>
                <w:bCs/>
                <w:vertAlign w:val="baseline"/>
                <w:lang w:val="en-US" w:eastAsia="zh-CN"/>
              </w:rPr>
              <w:t>产品特性：</w:t>
            </w:r>
          </w:p>
          <w:p>
            <w:pPr>
              <w:bidi w:val="0"/>
              <w:ind w:firstLine="420" w:firstLineChars="200"/>
              <w:jc w:val="left"/>
              <w:rPr>
                <w:rFonts w:hint="default"/>
                <w:vertAlign w:val="baseline"/>
                <w:lang w:val="en-US" w:eastAsia="zh-CN"/>
              </w:rPr>
            </w:pPr>
            <w:r>
              <w:rPr>
                <w:rFonts w:hint="eastAsia"/>
                <w:vertAlign w:val="baseline"/>
                <w:lang w:val="en-US" w:eastAsia="zh-CN"/>
              </w:rPr>
              <w:t xml:space="preserve"> </w:t>
            </w:r>
            <w:r>
              <w:rPr>
                <w:rFonts w:hint="eastAsia" w:ascii="宋体" w:hAnsi="宋体" w:eastAsia="宋体" w:cs="宋体"/>
                <w:sz w:val="18"/>
                <w:szCs w:val="18"/>
                <w:vertAlign w:val="baseline"/>
                <w:lang w:val="en-US" w:eastAsia="zh-CN"/>
              </w:rPr>
              <w:t xml:space="preserve"> </w:t>
            </w:r>
            <w:r>
              <w:rPr>
                <w:rFonts w:hint="eastAsia" w:ascii="宋体" w:hAnsi="宋体" w:eastAsia="宋体" w:cs="宋体"/>
                <w:b w:val="0"/>
                <w:bCs w:val="0"/>
                <w:sz w:val="18"/>
                <w:szCs w:val="18"/>
                <w:vertAlign w:val="baseline"/>
                <w:lang w:val="en-US" w:eastAsia="zh-CN"/>
              </w:rPr>
              <w:t xml:space="preserve"> GZ</w:t>
            </w:r>
            <w:r>
              <w:rPr>
                <w:rFonts w:hint="eastAsia"/>
                <w:b w:val="0"/>
                <w:bCs w:val="0"/>
                <w:sz w:val="18"/>
                <w:szCs w:val="18"/>
                <w:lang w:val="en-US" w:eastAsia="zh-CN"/>
              </w:rPr>
              <w:t>-155D</w:t>
            </w:r>
            <w:r>
              <w:rPr>
                <w:rFonts w:hint="eastAsia" w:ascii="宋体" w:hAnsi="宋体" w:eastAsia="宋体" w:cs="宋体"/>
                <w:color w:val="auto"/>
                <w:kern w:val="0"/>
                <w:sz w:val="18"/>
                <w:szCs w:val="18"/>
              </w:rPr>
              <w:t>型</w:t>
            </w:r>
            <w:r>
              <w:rPr>
                <w:rFonts w:hint="eastAsia" w:ascii="宋体" w:hAnsi="宋体" w:eastAsia="宋体" w:cs="宋体"/>
                <w:color w:val="auto"/>
                <w:kern w:val="0"/>
                <w:sz w:val="18"/>
                <w:szCs w:val="18"/>
                <w:lang w:eastAsia="zh-CN"/>
              </w:rPr>
              <w:t>是专门针对烟囱、冷却塔、</w:t>
            </w:r>
            <w:r>
              <w:rPr>
                <w:rFonts w:hint="eastAsia"/>
                <w:sz w:val="18"/>
                <w:szCs w:val="18"/>
                <w:vertAlign w:val="baseline"/>
                <w:lang w:val="en-US" w:eastAsia="zh-CN"/>
              </w:rPr>
              <w:t>雷达发射塔、</w:t>
            </w:r>
            <w:r>
              <w:rPr>
                <w:rFonts w:hint="eastAsia" w:ascii="宋体" w:hAnsi="宋体" w:eastAsia="宋体" w:cs="宋体"/>
                <w:color w:val="auto"/>
                <w:kern w:val="0"/>
                <w:sz w:val="18"/>
                <w:szCs w:val="18"/>
                <w:lang w:eastAsia="zh-CN"/>
              </w:rPr>
              <w:t>化工厂、海上设施而开发的产品。该灯是一款多用途，多功能航空障碍灯。</w:t>
            </w:r>
            <w:r>
              <w:rPr>
                <w:rFonts w:hint="eastAsia" w:ascii="宋体" w:hAnsi="宋体" w:eastAsia="宋体" w:cs="宋体"/>
                <w:color w:val="auto"/>
                <w:kern w:val="0"/>
                <w:sz w:val="18"/>
                <w:szCs w:val="18"/>
                <w:lang w:val="en-US" w:eastAsia="zh-CN"/>
              </w:rPr>
              <w:t>可满足不同工程建筑物顶部和中部搭配使用。</w:t>
            </w:r>
            <w:r>
              <w:rPr>
                <w:rFonts w:hint="eastAsia" w:ascii="宋体" w:hAnsi="宋体" w:eastAsia="宋体" w:cs="宋体"/>
                <w:b w:val="0"/>
                <w:bCs w:val="0"/>
                <w:color w:val="auto"/>
                <w:kern w:val="0"/>
                <w:sz w:val="18"/>
                <w:szCs w:val="18"/>
                <w:lang w:eastAsia="zh-CN"/>
              </w:rPr>
              <w:t>整灯采用全密封工艺制作；灯罩采用</w:t>
            </w:r>
            <w:r>
              <w:rPr>
                <w:rFonts w:hint="eastAsia" w:ascii="宋体" w:hAnsi="宋体" w:eastAsia="宋体" w:cs="宋体"/>
                <w:b w:val="0"/>
                <w:bCs w:val="0"/>
                <w:color w:val="auto"/>
                <w:kern w:val="0"/>
                <w:sz w:val="18"/>
                <w:szCs w:val="18"/>
                <w:lang w:val="en-US" w:eastAsia="zh-CN"/>
              </w:rPr>
              <w:t>PC材质菲涅尔光学透镜，光源选用高亮度LED光源，</w:t>
            </w:r>
            <w:r>
              <w:rPr>
                <w:rFonts w:hint="eastAsia" w:ascii="宋体" w:hAnsi="宋体" w:eastAsia="宋体" w:cs="宋体"/>
                <w:b w:val="0"/>
                <w:bCs w:val="0"/>
                <w:color w:val="auto"/>
                <w:kern w:val="0"/>
                <w:sz w:val="18"/>
                <w:szCs w:val="18"/>
                <w:lang w:eastAsia="zh-CN"/>
              </w:rPr>
              <w:t>灯器底座采用</w:t>
            </w:r>
            <w:r>
              <w:rPr>
                <w:rFonts w:hint="eastAsia" w:ascii="宋体" w:hAnsi="宋体" w:eastAsia="宋体" w:cs="宋体"/>
                <w:b w:val="0"/>
                <w:bCs w:val="0"/>
                <w:color w:val="auto"/>
                <w:kern w:val="0"/>
                <w:sz w:val="18"/>
                <w:szCs w:val="18"/>
                <w:lang w:val="en-US" w:eastAsia="zh-CN"/>
              </w:rPr>
              <w:t>304不锈钢加激光切割工艺焊接而成。不锈钢材料能够更好的抵御微波磁场辐射、烟囱脱硫、冷却塔水蒸气、海水盐雾和化工原料对灯体的腐蚀。</w:t>
            </w:r>
            <w:r>
              <w:rPr>
                <w:rFonts w:hint="eastAsia" w:ascii="宋体" w:hAnsi="宋体" w:eastAsia="宋体" w:cs="宋体"/>
                <w:color w:val="auto"/>
                <w:kern w:val="0"/>
                <w:sz w:val="18"/>
                <w:szCs w:val="18"/>
                <w:lang w:val="en-US" w:eastAsia="zh-CN"/>
              </w:rPr>
              <w:t>灯器底部</w:t>
            </w:r>
            <w:r>
              <w:rPr>
                <w:rFonts w:hint="eastAsia" w:ascii="宋体" w:hAnsi="宋体" w:eastAsia="宋体" w:cs="宋体"/>
                <w:b w:val="0"/>
                <w:i w:val="0"/>
                <w:snapToGrid/>
                <w:color w:val="auto"/>
                <w:sz w:val="18"/>
                <w:szCs w:val="18"/>
                <w:shd w:val="clear" w:color="auto" w:fill="FFFFFF"/>
                <w:lang w:eastAsia="zh-CN"/>
              </w:rPr>
              <w:t>预留</w:t>
            </w:r>
            <w:r>
              <w:rPr>
                <w:rFonts w:hint="eastAsia" w:ascii="宋体" w:hAnsi="宋体" w:eastAsia="宋体" w:cs="宋体"/>
                <w:color w:val="auto"/>
                <w:kern w:val="0"/>
                <w:sz w:val="18"/>
                <w:szCs w:val="18"/>
                <w:lang w:val="en-US" w:eastAsia="zh-CN"/>
              </w:rPr>
              <w:t>标准控制器同步连接终端，便于在建筑物上不同方位构成各种组合以实现同步闪光工作。</w:t>
            </w:r>
            <w:r>
              <w:rPr>
                <w:rFonts w:hint="eastAsia" w:ascii="宋体" w:hAnsi="宋体" w:eastAsia="宋体" w:cs="宋体"/>
                <w:b w:val="0"/>
                <w:bCs w:val="0"/>
                <w:color w:val="auto"/>
                <w:kern w:val="0"/>
                <w:sz w:val="18"/>
                <w:szCs w:val="18"/>
                <w:lang w:eastAsia="zh-CN"/>
              </w:rPr>
              <w:t>灯罩外形采用</w:t>
            </w:r>
            <w:r>
              <w:rPr>
                <w:rFonts w:hint="eastAsia" w:ascii="宋体" w:hAnsi="宋体" w:eastAsia="宋体" w:cs="宋体"/>
                <w:color w:val="auto"/>
                <w:kern w:val="0"/>
                <w:sz w:val="18"/>
                <w:szCs w:val="18"/>
                <w:lang w:eastAsia="zh-CN"/>
              </w:rPr>
              <w:t>流畅的锥形力学设计理念，能有效防止冰雹对灯体的冲击、雨雪灰尘的残留。灯罩独特的梯形条纹设计具有放大聚焦功能将原有的光源亮度成倍提高。</w:t>
            </w:r>
          </w:p>
          <w:p>
            <w:pPr>
              <w:bidi w:val="0"/>
              <w:jc w:val="left"/>
              <w:rPr>
                <w:rFonts w:hint="eastAsia"/>
                <w:vertAlign w:val="baseline"/>
                <w:lang w:val="en-US" w:eastAsia="zh-CN"/>
              </w:rPr>
            </w:pPr>
            <w:r>
              <w:rPr>
                <w:rFonts w:hint="eastAsia"/>
                <w:vertAlign w:val="baseline"/>
                <w:lang w:val="en-US" w:eastAsia="zh-CN"/>
              </w:rPr>
              <w:t xml:space="preserve">  </w:t>
            </w:r>
          </w:p>
          <w:p>
            <w:pPr>
              <w:bidi w:val="0"/>
              <w:ind w:firstLine="211" w:firstLineChars="100"/>
              <w:jc w:val="left"/>
              <w:rPr>
                <w:rFonts w:hint="eastAsia"/>
                <w:b/>
                <w:bCs/>
                <w:vertAlign w:val="baseline"/>
                <w:lang w:val="en-US" w:eastAsia="zh-CN"/>
              </w:rPr>
            </w:pPr>
            <w:r>
              <w:rPr>
                <w:rFonts w:hint="eastAsia"/>
                <w:b/>
                <w:bCs/>
                <w:vertAlign w:val="baseline"/>
                <w:lang w:val="en-US" w:eastAsia="zh-CN"/>
              </w:rPr>
              <w:t>技术参数：</w:t>
            </w:r>
          </w:p>
          <w:p>
            <w:pPr>
              <w:bidi w:val="0"/>
              <w:ind w:firstLine="211" w:firstLineChars="100"/>
              <w:jc w:val="left"/>
              <w:rPr>
                <w:rFonts w:hint="eastAsia"/>
                <w:b/>
                <w:bCs/>
                <w:vertAlign w:val="baseline"/>
                <w:lang w:val="en-US" w:eastAsia="zh-CN"/>
              </w:rPr>
            </w:pPr>
          </w:p>
          <w:tbl>
            <w:tblPr>
              <w:tblStyle w:val="5"/>
              <w:tblW w:w="5312" w:type="dxa"/>
              <w:tblInd w:w="4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5"/>
              <w:gridCol w:w="3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5"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FAA参考标准</w:t>
                  </w:r>
                </w:p>
              </w:tc>
              <w:tc>
                <w:tcPr>
                  <w:tcW w:w="3937"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 xml:space="preserve"> L-864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75"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工作电压</w:t>
                  </w:r>
                </w:p>
              </w:tc>
              <w:tc>
                <w:tcPr>
                  <w:tcW w:w="3937"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 xml:space="preserve"> AC220V/50HZ（特殊电压可定制）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5"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功率</w:t>
                  </w:r>
                </w:p>
              </w:tc>
              <w:tc>
                <w:tcPr>
                  <w:tcW w:w="3937"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 xml:space="preserve"> LED光源50W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5"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光源类型</w:t>
                  </w:r>
                </w:p>
              </w:tc>
              <w:tc>
                <w:tcPr>
                  <w:tcW w:w="3937"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 xml:space="preserve"> 高亮度LED冷光源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5"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闪光频率</w:t>
                  </w:r>
                </w:p>
              </w:tc>
              <w:tc>
                <w:tcPr>
                  <w:tcW w:w="3937"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 xml:space="preserve"> 20-60次/分钟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5"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有效光强</w:t>
                  </w:r>
                </w:p>
              </w:tc>
              <w:tc>
                <w:tcPr>
                  <w:tcW w:w="3937"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 xml:space="preserve"> 红光2000cd、白光20000cd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5"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光控灵敏度</w:t>
                  </w:r>
                </w:p>
              </w:tc>
              <w:tc>
                <w:tcPr>
                  <w:tcW w:w="3937"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 xml:space="preserve"> 50-500Lux可调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5"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光源颜色</w:t>
                  </w:r>
                </w:p>
              </w:tc>
              <w:tc>
                <w:tcPr>
                  <w:tcW w:w="3937"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 xml:space="preserve"> 红、白、绿、黄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5"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工作温度</w:t>
                  </w:r>
                </w:p>
              </w:tc>
              <w:tc>
                <w:tcPr>
                  <w:tcW w:w="3937"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 xml:space="preserve"> </w:t>
                  </w:r>
                  <w:r>
                    <w:rPr>
                      <w:rFonts w:hint="eastAsia" w:ascii="宋体" w:hAnsi="宋体" w:eastAsia="宋体" w:cs="宋体"/>
                      <w:b w:val="0"/>
                      <w:bCs w:val="0"/>
                      <w:sz w:val="18"/>
                      <w:szCs w:val="18"/>
                      <w:vertAlign w:val="baseline"/>
                      <w:lang w:val="en-US" w:eastAsia="zh-CN"/>
                    </w:rPr>
                    <w:t>－</w:t>
                  </w:r>
                  <w:r>
                    <w:rPr>
                      <w:rFonts w:hint="eastAsia"/>
                      <w:b w:val="0"/>
                      <w:bCs w:val="0"/>
                      <w:sz w:val="18"/>
                      <w:szCs w:val="18"/>
                      <w:vertAlign w:val="baseline"/>
                      <w:lang w:val="en-US" w:eastAsia="zh-CN"/>
                    </w:rPr>
                    <w:t>45</w:t>
                  </w:r>
                  <w:r>
                    <w:rPr>
                      <w:rFonts w:hint="eastAsia" w:ascii="宋体" w:hAnsi="宋体" w:eastAsia="宋体" w:cs="宋体"/>
                      <w:b w:val="0"/>
                      <w:bCs w:val="0"/>
                      <w:sz w:val="18"/>
                      <w:szCs w:val="18"/>
                      <w:vertAlign w:val="baseline"/>
                      <w:lang w:val="en-US" w:eastAsia="zh-CN"/>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5"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水平发光角度</w:t>
                  </w:r>
                </w:p>
              </w:tc>
              <w:tc>
                <w:tcPr>
                  <w:tcW w:w="3937" w:type="dxa"/>
                </w:tcPr>
                <w:p>
                  <w:pPr>
                    <w:bidi w:val="0"/>
                    <w:jc w:val="left"/>
                    <w:rPr>
                      <w:rFonts w:hint="default" w:asciiTheme="minorHAnsi" w:hAnsiTheme="minorHAnsi" w:cstheme="minorHAnsi"/>
                      <w:b w:val="0"/>
                      <w:bCs w:val="0"/>
                      <w:sz w:val="18"/>
                      <w:szCs w:val="18"/>
                      <w:vertAlign w:val="baseline"/>
                      <w:lang w:val="en-US" w:eastAsia="zh-CN"/>
                    </w:rPr>
                  </w:pPr>
                  <w:r>
                    <w:rPr>
                      <w:rFonts w:hint="eastAsia"/>
                      <w:b w:val="0"/>
                      <w:bCs w:val="0"/>
                      <w:sz w:val="18"/>
                      <w:szCs w:val="18"/>
                      <w:vertAlign w:val="baseline"/>
                      <w:lang w:val="en-US" w:eastAsia="zh-CN"/>
                    </w:rPr>
                    <w:t xml:space="preserve"> 360</w:t>
                  </w:r>
                  <w:r>
                    <w:rPr>
                      <w:rFonts w:hint="default" w:ascii="Calibri" w:hAnsi="Calibri" w:cs="Calibri"/>
                      <w:b w:val="0"/>
                      <w:bCs w:val="0"/>
                      <w:sz w:val="18"/>
                      <w:szCs w:val="18"/>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5"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光源寿命</w:t>
                  </w:r>
                </w:p>
              </w:tc>
              <w:tc>
                <w:tcPr>
                  <w:tcW w:w="3937"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 xml:space="preserve"> </w:t>
                  </w:r>
                  <w:r>
                    <w:rPr>
                      <w:rFonts w:hint="default" w:ascii="Arial" w:hAnsi="Arial" w:cs="Arial"/>
                      <w:b w:val="0"/>
                      <w:bCs w:val="0"/>
                      <w:sz w:val="18"/>
                      <w:szCs w:val="18"/>
                      <w:vertAlign w:val="baseline"/>
                      <w:lang w:val="en-US" w:eastAsia="zh-CN"/>
                    </w:rPr>
                    <w:t>≥</w:t>
                  </w:r>
                  <w:r>
                    <w:rPr>
                      <w:rFonts w:hint="eastAsia"/>
                      <w:b w:val="0"/>
                      <w:bCs w:val="0"/>
                      <w:sz w:val="18"/>
                      <w:szCs w:val="18"/>
                      <w:vertAlign w:val="baseline"/>
                      <w:lang w:val="en-US" w:eastAsia="zh-CN"/>
                    </w:rPr>
                    <w:t>120,000h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5"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工作湿度</w:t>
                  </w:r>
                </w:p>
              </w:tc>
              <w:tc>
                <w:tcPr>
                  <w:tcW w:w="3937"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 xml:space="preserve"> 10%</w:t>
                  </w:r>
                  <w:r>
                    <w:rPr>
                      <w:rFonts w:hint="eastAsia" w:ascii="宋体" w:hAnsi="宋体" w:eastAsia="宋体" w:cs="宋体"/>
                      <w:b w:val="0"/>
                      <w:bCs w:val="0"/>
                      <w:sz w:val="18"/>
                      <w:szCs w:val="18"/>
                      <w:vertAlign w:val="baseline"/>
                      <w:lang w:val="en-US" w:eastAsia="zh-CN"/>
                    </w:rPr>
                    <w:t>～</w:t>
                  </w:r>
                  <w:r>
                    <w:rPr>
                      <w:rFonts w:hint="eastAsia"/>
                      <w:b w:val="0"/>
                      <w:bCs w:val="0"/>
                      <w:sz w:val="18"/>
                      <w:szCs w:val="18"/>
                      <w:vertAlign w:val="baseline"/>
                      <w:lang w:val="en-US" w:eastAsia="zh-CN"/>
                    </w:rPr>
                    <w:t>95%（不凝结）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5"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防护等级</w:t>
                  </w:r>
                </w:p>
              </w:tc>
              <w:tc>
                <w:tcPr>
                  <w:tcW w:w="3937"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 xml:space="preserve"> IP66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5"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抗风等级</w:t>
                  </w:r>
                </w:p>
              </w:tc>
              <w:tc>
                <w:tcPr>
                  <w:tcW w:w="3937"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 xml:space="preserve"> 240米/秒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5"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外形尺寸</w:t>
                  </w:r>
                </w:p>
              </w:tc>
              <w:tc>
                <w:tcPr>
                  <w:tcW w:w="3937"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 xml:space="preserve"> 高480mm/宽220mm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5"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底盘安装尺寸</w:t>
                  </w:r>
                </w:p>
              </w:tc>
              <w:tc>
                <w:tcPr>
                  <w:tcW w:w="3937"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 xml:space="preserve"> 直径220mm、节圆195mm（4</w:t>
                  </w:r>
                  <w:r>
                    <w:rPr>
                      <w:rFonts w:hint="default" w:ascii="Arial" w:hAnsi="Arial" w:cs="Arial"/>
                      <w:b w:val="0"/>
                      <w:bCs w:val="0"/>
                      <w:sz w:val="18"/>
                      <w:szCs w:val="18"/>
                      <w:vertAlign w:val="baseline"/>
                      <w:lang w:val="en-US" w:eastAsia="zh-CN"/>
                    </w:rPr>
                    <w:t>×</w:t>
                  </w:r>
                  <w:r>
                    <w:rPr>
                      <w:rFonts w:hint="default" w:ascii="Verdana" w:hAnsi="Verdana" w:cs="Verdana"/>
                      <w:b w:val="0"/>
                      <w:bCs w:val="0"/>
                      <w:sz w:val="18"/>
                      <w:szCs w:val="18"/>
                      <w:vertAlign w:val="baseline"/>
                      <w:lang w:val="en-US" w:eastAsia="zh-CN"/>
                    </w:rPr>
                    <w:t>Φ</w:t>
                  </w:r>
                  <w:r>
                    <w:rPr>
                      <w:rFonts w:hint="eastAsia"/>
                      <w:b w:val="0"/>
                      <w:bCs w:val="0"/>
                      <w:sz w:val="18"/>
                      <w:szCs w:val="18"/>
                      <w:vertAlign w:val="baseline"/>
                      <w:lang w:val="en-US" w:eastAsia="zh-CN"/>
                    </w:rPr>
                    <w:t>12孔径）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5"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材质</w:t>
                  </w:r>
                </w:p>
              </w:tc>
              <w:tc>
                <w:tcPr>
                  <w:tcW w:w="3937"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 xml:space="preserve"> 底座：304不锈钢、 灯罩：PC材料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75"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参考重量</w:t>
                  </w:r>
                </w:p>
              </w:tc>
              <w:tc>
                <w:tcPr>
                  <w:tcW w:w="3937" w:type="dxa"/>
                </w:tcPr>
                <w:p>
                  <w:pPr>
                    <w:bidi w:val="0"/>
                    <w:jc w:val="left"/>
                    <w:rPr>
                      <w:rFonts w:hint="default"/>
                      <w:b w:val="0"/>
                      <w:bCs w:val="0"/>
                      <w:sz w:val="18"/>
                      <w:szCs w:val="18"/>
                      <w:vertAlign w:val="baseline"/>
                      <w:lang w:val="en-US" w:eastAsia="zh-CN"/>
                    </w:rPr>
                  </w:pPr>
                  <w:r>
                    <w:rPr>
                      <w:rFonts w:hint="eastAsia"/>
                      <w:b w:val="0"/>
                      <w:bCs w:val="0"/>
                      <w:sz w:val="18"/>
                      <w:szCs w:val="18"/>
                      <w:vertAlign w:val="baseline"/>
                      <w:lang w:val="en-US" w:eastAsia="zh-CN"/>
                    </w:rPr>
                    <w:t xml:space="preserve"> 6kg</w:t>
                  </w:r>
                </w:p>
              </w:tc>
            </w:tr>
          </w:tbl>
          <w:p>
            <w:pPr>
              <w:bidi w:val="0"/>
              <w:ind w:firstLine="211" w:firstLineChars="100"/>
              <w:jc w:val="left"/>
              <w:rPr>
                <w:rFonts w:hint="default"/>
                <w:b/>
                <w:bCs/>
                <w:vertAlign w:val="baseline"/>
                <w:lang w:val="en-US" w:eastAsia="zh-CN"/>
              </w:rPr>
            </w:pPr>
          </w:p>
          <w:p>
            <w:pPr>
              <w:bidi w:val="0"/>
              <w:jc w:val="left"/>
              <w:rPr>
                <w:rFonts w:hint="eastAsia"/>
                <w:b/>
                <w:bCs/>
                <w:i w:val="0"/>
                <w:iCs w:val="0"/>
                <w:vertAlign w:val="baseline"/>
                <w:lang w:val="en-US" w:eastAsia="zh-CN"/>
              </w:rPr>
            </w:pPr>
            <w:r>
              <w:rPr>
                <w:rFonts w:hint="eastAsia"/>
                <w:vertAlign w:val="baseline"/>
                <w:lang w:val="en-US" w:eastAsia="zh-CN"/>
              </w:rPr>
              <w:t xml:space="preserve"> </w:t>
            </w:r>
            <w:r>
              <w:rPr>
                <w:rFonts w:hint="eastAsia"/>
                <w:b/>
                <w:bCs/>
                <w:vertAlign w:val="baseline"/>
                <w:lang w:val="en-US" w:eastAsia="zh-CN"/>
              </w:rPr>
              <w:t>闪光</w:t>
            </w:r>
            <w:r>
              <w:rPr>
                <w:rFonts w:hint="eastAsia"/>
                <w:b/>
                <w:bCs/>
                <w:i w:val="0"/>
                <w:iCs w:val="0"/>
                <w:vertAlign w:val="baseline"/>
                <w:lang w:val="en-US" w:eastAsia="zh-CN"/>
              </w:rPr>
              <w:t>同步方式选择</w:t>
            </w:r>
          </w:p>
          <w:p>
            <w:pPr>
              <w:numPr>
                <w:ilvl w:val="0"/>
                <w:numId w:val="1"/>
              </w:numPr>
              <w:bidi w:val="0"/>
              <w:ind w:left="210" w:leftChars="0" w:firstLine="0" w:firstLineChars="0"/>
              <w:jc w:val="left"/>
              <w:rPr>
                <w:rFonts w:hint="eastAsia"/>
                <w:vertAlign w:val="baseline"/>
                <w:lang w:val="en-US" w:eastAsia="zh-CN"/>
              </w:rPr>
            </w:pPr>
            <w:r>
              <w:rPr>
                <w:rFonts w:hint="eastAsia"/>
                <w:vertAlign w:val="baseline"/>
                <w:lang w:val="en-US" w:eastAsia="zh-CN"/>
              </w:rPr>
              <w:t>采用电源线信号传输方式实现同步闪光（推荐）。</w:t>
            </w:r>
          </w:p>
          <w:p>
            <w:pPr>
              <w:numPr>
                <w:ilvl w:val="0"/>
                <w:numId w:val="1"/>
              </w:numPr>
              <w:bidi w:val="0"/>
              <w:ind w:left="210" w:leftChars="0" w:firstLine="0" w:firstLineChars="0"/>
              <w:jc w:val="left"/>
              <w:rPr>
                <w:rFonts w:hint="default"/>
                <w:vertAlign w:val="baseline"/>
                <w:lang w:val="en-US" w:eastAsia="zh-CN"/>
              </w:rPr>
            </w:pPr>
            <w:r>
              <w:rPr>
                <w:rFonts w:hint="eastAsia"/>
                <w:vertAlign w:val="baseline"/>
                <w:lang w:val="en-US" w:eastAsia="zh-CN"/>
              </w:rPr>
              <w:t>采用同步信号线连接方式实现同步闪光。</w:t>
            </w:r>
          </w:p>
          <w:p>
            <w:pPr>
              <w:numPr>
                <w:ilvl w:val="0"/>
                <w:numId w:val="1"/>
              </w:numPr>
              <w:bidi w:val="0"/>
              <w:ind w:left="210" w:leftChars="0" w:firstLine="0" w:firstLineChars="0"/>
              <w:jc w:val="left"/>
              <w:rPr>
                <w:rFonts w:hint="default"/>
                <w:vertAlign w:val="baseline"/>
                <w:lang w:val="en-US" w:eastAsia="zh-CN"/>
              </w:rPr>
            </w:pPr>
            <w:r>
              <w:rPr>
                <w:rFonts w:hint="eastAsia"/>
                <w:vertAlign w:val="baseline"/>
                <w:lang w:val="en-US" w:eastAsia="zh-CN"/>
              </w:rPr>
              <w:t>选用控制箱连接方式实现同步闪光。</w:t>
            </w:r>
          </w:p>
          <w:p>
            <w:pPr>
              <w:numPr>
                <w:ilvl w:val="0"/>
                <w:numId w:val="1"/>
              </w:numPr>
              <w:bidi w:val="0"/>
              <w:ind w:left="210" w:leftChars="0" w:firstLine="0" w:firstLineChars="0"/>
              <w:jc w:val="left"/>
              <w:rPr>
                <w:rFonts w:hint="default"/>
                <w:vertAlign w:val="baseline"/>
                <w:lang w:val="en-US" w:eastAsia="zh-CN"/>
              </w:rPr>
            </w:pPr>
            <w:r>
              <w:rPr>
                <w:rFonts w:hint="eastAsia"/>
                <w:vertAlign w:val="baseline"/>
                <w:lang w:val="en-US" w:eastAsia="zh-CN"/>
              </w:rPr>
              <w:t>选用一套主灯控制多套副灯连接方式实现同步闪光。</w:t>
            </w:r>
          </w:p>
          <w:p>
            <w:pPr>
              <w:numPr>
                <w:ilvl w:val="0"/>
                <w:numId w:val="1"/>
              </w:numPr>
              <w:bidi w:val="0"/>
              <w:ind w:left="210" w:leftChars="0" w:firstLine="0" w:firstLineChars="0"/>
              <w:jc w:val="left"/>
              <w:rPr>
                <w:rFonts w:hint="default"/>
                <w:vertAlign w:val="baseline"/>
                <w:lang w:val="en-US" w:eastAsia="zh-CN"/>
              </w:rPr>
            </w:pPr>
            <w:r>
              <w:rPr>
                <w:rFonts w:hint="eastAsia"/>
                <w:vertAlign w:val="baseline"/>
                <w:lang w:val="en-US" w:eastAsia="zh-CN"/>
              </w:rPr>
              <w:t>选装GPS模块实现无线同步闪光。</w:t>
            </w:r>
          </w:p>
          <w:p>
            <w:pPr>
              <w:numPr>
                <w:ilvl w:val="0"/>
                <w:numId w:val="0"/>
              </w:numPr>
              <w:bidi w:val="0"/>
              <w:jc w:val="left"/>
              <w:rPr>
                <w:rFonts w:hint="default"/>
                <w:vertAlign w:val="baseline"/>
                <w:lang w:val="en-US" w:eastAsia="zh-CN"/>
              </w:rPr>
            </w:pPr>
          </w:p>
        </w:tc>
      </w:tr>
    </w:tbl>
    <w:p>
      <w:pPr>
        <w:bidi w:val="0"/>
        <w:ind w:firstLine="3990" w:firstLineChars="1900"/>
        <w:jc w:val="left"/>
        <w:rPr>
          <w:rFonts w:hint="eastAsia" w:asciiTheme="minorEastAsia" w:hAnsiTheme="minorEastAsia" w:eastAsiaTheme="minorEastAsia" w:cstheme="minorEastAsia"/>
          <w:b/>
          <w:bCs/>
          <w:lang w:val="en-US" w:eastAsia="zh-CN"/>
        </w:rPr>
      </w:pPr>
      <w:r>
        <w:rPr>
          <w:rFonts w:hint="eastAsia"/>
          <w:lang w:val="en-US" w:eastAsia="zh-CN"/>
        </w:rPr>
        <w:t xml:space="preserve"> </w:t>
      </w:r>
      <w:r>
        <w:rPr>
          <w:rFonts w:hint="eastAsia"/>
          <w:b/>
          <w:bCs/>
          <w:lang w:val="en-US" w:eastAsia="zh-CN"/>
        </w:rPr>
        <w:t>产品型号：GZ-155D型中光强航空障碍灯</w:t>
      </w:r>
    </w:p>
    <w:sectPr>
      <w:headerReference r:id="rId3" w:type="default"/>
      <w:pgSz w:w="11906" w:h="16838"/>
      <w:pgMar w:top="-394" w:right="446" w:bottom="0" w:left="540" w:header="27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4" w:space="1"/>
      </w:pBdr>
      <w:rPr>
        <w:rFonts w:hint="default" w:eastAsiaTheme="minorEastAsia"/>
        <w:lang w:val="en-US" w:eastAsia="zh-CN"/>
      </w:rPr>
    </w:pPr>
    <w:r>
      <w:drawing>
        <wp:inline distT="0" distB="0" distL="114300" distR="114300">
          <wp:extent cx="553085" cy="607695"/>
          <wp:effectExtent l="0" t="0" r="18415" b="1905"/>
          <wp:docPr id="3" name="图片 2" descr="新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新LOGO"/>
                  <pic:cNvPicPr>
                    <a:picLocks noChangeAspect="1"/>
                  </pic:cNvPicPr>
                </pic:nvPicPr>
                <pic:blipFill>
                  <a:blip r:embed="rId1"/>
                  <a:stretch>
                    <a:fillRect/>
                  </a:stretch>
                </pic:blipFill>
                <pic:spPr>
                  <a:xfrm>
                    <a:off x="0" y="0"/>
                    <a:ext cx="553085" cy="607695"/>
                  </a:xfrm>
                  <a:prstGeom prst="rect">
                    <a:avLst/>
                  </a:prstGeom>
                  <a:noFill/>
                  <a:ln>
                    <a:noFill/>
                  </a:ln>
                </pic:spPr>
              </pic:pic>
            </a:graphicData>
          </a:graphic>
        </wp:inline>
      </w:drawing>
    </w:r>
    <w:r>
      <w:rPr>
        <w:rFonts w:hint="eastAsia"/>
        <w:lang w:val="en-US" w:eastAsia="zh-CN"/>
      </w:rPr>
      <w:t xml:space="preserve"> </w:t>
    </w:r>
    <w:r>
      <w:rPr>
        <w:rFonts w:hint="eastAsia"/>
        <w:sz w:val="24"/>
        <w:szCs w:val="24"/>
        <w:lang w:val="en-US" w:eastAsia="zh-CN"/>
      </w:rPr>
      <w:t xml:space="preserve"> </w:t>
    </w:r>
    <w:r>
      <w:rPr>
        <w:rFonts w:hint="eastAsia"/>
        <w:b/>
        <w:bCs/>
        <w:sz w:val="24"/>
        <w:szCs w:val="24"/>
        <w:lang w:eastAsia="zh-CN"/>
      </w:rPr>
      <w:t>上海伟程航标设备有限公司</w:t>
    </w:r>
    <w:r>
      <w:rPr>
        <w:rFonts w:hint="eastAsia"/>
        <w:b/>
        <w:bCs/>
        <w:sz w:val="24"/>
        <w:szCs w:val="24"/>
        <w:lang w:val="en-US" w:eastAsia="zh-CN"/>
      </w:rPr>
      <w:t xml:space="preserve">                                  </w:t>
    </w:r>
    <w:r>
      <w:rPr>
        <w:rFonts w:hint="eastAsia"/>
        <w:b/>
        <w:bCs/>
        <w:sz w:val="18"/>
        <w:szCs w:val="18"/>
        <w:lang w:val="en-US" w:eastAsia="zh-CN"/>
      </w:rPr>
      <w:t xml:space="preserve"> 网址：www.weichenghb.com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06A740"/>
    <w:multiLevelType w:val="singleLevel"/>
    <w:tmpl w:val="0306A740"/>
    <w:lvl w:ilvl="0" w:tentative="0">
      <w:start w:val="1"/>
      <w:numFmt w:val="decimal"/>
      <w:suff w:val="nothing"/>
      <w:lvlText w:val="%1、"/>
      <w:lvlJc w:val="left"/>
      <w:pPr>
        <w:ind w:left="210"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582038"/>
    <w:rsid w:val="14F43DEA"/>
    <w:rsid w:val="1B4F371E"/>
    <w:rsid w:val="25F0586B"/>
    <w:rsid w:val="289D6E54"/>
    <w:rsid w:val="365809A6"/>
    <w:rsid w:val="3AE93A32"/>
    <w:rsid w:val="3B3D7DE5"/>
    <w:rsid w:val="3D4C4FB6"/>
    <w:rsid w:val="418C3AD9"/>
    <w:rsid w:val="45A05875"/>
    <w:rsid w:val="49582038"/>
    <w:rsid w:val="4AAD1876"/>
    <w:rsid w:val="4EBA1D49"/>
    <w:rsid w:val="515338CE"/>
    <w:rsid w:val="5698336C"/>
    <w:rsid w:val="5DBF7AC6"/>
    <w:rsid w:val="729C7915"/>
    <w:rsid w:val="7C2611CC"/>
    <w:rsid w:val="7C3447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000000" w:themeColor="text1"/>
      <w:kern w:val="2"/>
      <w:sz w:val="21"/>
      <w:szCs w:val="24"/>
      <w:lang w:val="en-US" w:eastAsia="zh-CN" w:bidi="ar-SA"/>
      <w14:textFill>
        <w14:solidFill>
          <w14:schemeClr w14:val="tx1"/>
        </w14:solidFill>
      </w14:textFill>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669</Words>
  <Characters>781</Characters>
  <Lines>0</Lines>
  <Paragraphs>0</Paragraphs>
  <TotalTime>2</TotalTime>
  <ScaleCrop>false</ScaleCrop>
  <LinksUpToDate>false</LinksUpToDate>
  <CharactersWithSpaces>877</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2020-02-10T08:36:00Z</dcterms:created>
  <dc:creator>Administrator</dc:creator>
  <cp:lastModifiedBy>apple</cp:lastModifiedBy>
  <cp:lastPrinted>2020-02-21T13:17:00Z</cp:lastPrinted>
  <dcterms:modified xsi:type="dcterms:W3CDTF">2023-04-21T06:05:30Z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ABF17192DBEE4A77914C4491AA00B07B</vt:lpwstr>
  </property>
</Properties>
</file>