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bidi w:val="0"/>
        <w:rPr>
          <w:rFonts w:hint="default" w:asciiTheme="minorHAnsi" w:hAnsiTheme="minorHAnsi" w:eastAsiaTheme="minor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 xml:space="preserve">  </w:t>
      </w:r>
    </w:p>
    <w:p>
      <w:pPr>
        <w:bidi w:val="0"/>
        <w:rPr>
          <w:lang w:val="en-US" w:eastAsia="zh-CN"/>
        </w:rPr>
      </w:pPr>
    </w:p>
    <w:p>
      <w:pPr>
        <w:bidi w:val="0"/>
        <w:jc w:val="left"/>
        <w:rPr>
          <w:rFonts w:hint="eastAsia"/>
          <w:lang w:val="en-US" w:eastAsia="zh-CN"/>
        </w:rPr>
      </w:pPr>
      <w:r>
        <w:rPr>
          <w:rFonts w:hint="eastAsia"/>
          <w:lang w:val="en-US" w:eastAsia="zh-CN"/>
        </w:rPr>
        <w:t xml:space="preserve">                                             </w:t>
      </w:r>
    </w:p>
    <w:tbl>
      <w:tblPr>
        <w:tblStyle w:val="5"/>
        <w:tblpPr w:leftFromText="180" w:rightFromText="180" w:vertAnchor="page" w:horzAnchor="page" w:tblpX="479" w:tblpY="2148"/>
        <w:tblOverlap w:val="never"/>
        <w:tblW w:w="113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513"/>
        <w:gridCol w:w="78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1" w:hRule="atLeast"/>
        </w:trPr>
        <w:tc>
          <w:tcPr>
            <w:tcW w:w="3513" w:type="dxa"/>
            <w:tcBorders>
              <w:right w:val="single" w:color="auto" w:sz="4" w:space="0"/>
            </w:tcBorders>
          </w:tcPr>
          <w:p>
            <w:pPr>
              <w:bidi w:val="0"/>
              <w:jc w:val="left"/>
              <w:rPr>
                <w:rFonts w:hint="default" w:ascii="宋体" w:hAnsi="宋体" w:eastAsia="宋体"/>
                <w:b w:val="0"/>
                <w:i w:val="0"/>
                <w:snapToGrid/>
                <w:color w:val="000000"/>
                <w:sz w:val="24"/>
                <w:u w:val="none"/>
                <w:lang w:eastAsia="zh-CN"/>
              </w:rPr>
            </w:pPr>
            <w:r>
              <w:drawing>
                <wp:inline distT="0" distB="0" distL="114300" distR="114300">
                  <wp:extent cx="2136775" cy="3232150"/>
                  <wp:effectExtent l="0" t="0" r="15875" b="635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
                          <a:stretch>
                            <a:fillRect/>
                          </a:stretch>
                        </pic:blipFill>
                        <pic:spPr>
                          <a:xfrm>
                            <a:off x="0" y="0"/>
                            <a:ext cx="2136775" cy="3232150"/>
                          </a:xfrm>
                          <a:prstGeom prst="rect">
                            <a:avLst/>
                          </a:prstGeom>
                          <a:noFill/>
                          <a:ln>
                            <a:noFill/>
                          </a:ln>
                        </pic:spPr>
                      </pic:pic>
                    </a:graphicData>
                  </a:graphic>
                </wp:inline>
              </w:drawing>
            </w:r>
            <w:r>
              <w:rPr>
                <w:rFonts w:hint="eastAsia"/>
                <w:sz w:val="18"/>
                <w:szCs w:val="18"/>
                <w:vertAlign w:val="baseline"/>
                <w:lang w:val="en-US" w:eastAsia="zh-CN"/>
              </w:rPr>
              <w:t xml:space="preserve">                      </w:t>
            </w:r>
          </w:p>
          <w:p>
            <w:pPr>
              <w:bidi w:val="0"/>
              <w:jc w:val="left"/>
              <w:rPr>
                <w:rFonts w:hint="default" w:ascii="宋体" w:hAnsi="宋体" w:eastAsia="宋体"/>
                <w:b w:val="0"/>
                <w:i w:val="0"/>
                <w:snapToGrid/>
                <w:color w:val="000000"/>
                <w:sz w:val="24"/>
                <w:u w:val="none"/>
                <w:lang w:val="en-US" w:eastAsia="zh-CN"/>
              </w:rPr>
            </w:pPr>
            <w:r>
              <w:rPr>
                <w:rFonts w:hint="eastAsia" w:ascii="宋体" w:hAnsi="宋体" w:eastAsia="宋体"/>
                <w:b w:val="0"/>
                <w:i w:val="0"/>
                <w:snapToGrid/>
                <w:color w:val="000000"/>
                <w:sz w:val="24"/>
                <w:u w:val="none"/>
                <w:lang w:val="en-US" w:eastAsia="zh-CN"/>
              </w:rPr>
              <w:t xml:space="preserve">   </w:t>
            </w:r>
          </w:p>
          <w:p>
            <w:pPr>
              <w:bidi w:val="0"/>
              <w:jc w:val="left"/>
              <w:rPr>
                <w:rFonts w:hint="default" w:eastAsia="宋体"/>
                <w:b w:val="0"/>
                <w:bCs w:val="0"/>
                <w:sz w:val="24"/>
                <w:lang w:val="en-US" w:eastAsia="zh-CN"/>
              </w:rPr>
            </w:pPr>
            <w:r>
              <w:rPr>
                <w:rFonts w:hint="eastAsia"/>
                <w:lang w:val="en-US" w:eastAsia="zh-CN"/>
              </w:rPr>
              <w:t xml:space="preserve">  </w:t>
            </w:r>
            <w:bookmarkStart w:id="0" w:name="_GoBack"/>
            <w:bookmarkEnd w:id="0"/>
          </w:p>
        </w:tc>
        <w:tc>
          <w:tcPr>
            <w:tcW w:w="7812" w:type="dxa"/>
            <w:tcBorders>
              <w:left w:val="single" w:color="auto" w:sz="4" w:space="0"/>
            </w:tcBorders>
          </w:tcPr>
          <w:p>
            <w:pPr>
              <w:bidi w:val="0"/>
              <w:jc w:val="left"/>
              <w:rPr>
                <w:rFonts w:hint="eastAsia"/>
                <w:b/>
                <w:bCs/>
                <w:vertAlign w:val="baseline"/>
                <w:lang w:val="en-US" w:eastAsia="zh-CN"/>
              </w:rPr>
            </w:pPr>
            <w:r>
              <w:rPr>
                <w:rFonts w:hint="eastAsia"/>
                <w:b/>
                <w:bCs/>
                <w:vertAlign w:val="baseline"/>
                <w:lang w:val="en-US" w:eastAsia="zh-CN"/>
              </w:rPr>
              <w:t xml:space="preserve"> </w:t>
            </w:r>
          </w:p>
          <w:p>
            <w:pPr>
              <w:bidi w:val="0"/>
              <w:ind w:firstLine="211" w:firstLineChars="100"/>
              <w:jc w:val="left"/>
              <w:rPr>
                <w:rFonts w:hint="eastAsia"/>
                <w:b/>
                <w:bCs/>
                <w:vertAlign w:val="baseline"/>
                <w:lang w:val="en-US" w:eastAsia="zh-CN"/>
              </w:rPr>
            </w:pPr>
            <w:r>
              <w:rPr>
                <w:rFonts w:hint="eastAsia"/>
                <w:b/>
                <w:bCs/>
                <w:vertAlign w:val="baseline"/>
                <w:lang w:val="en-US" w:eastAsia="zh-CN"/>
              </w:rPr>
              <w:t>适应场所：</w:t>
            </w:r>
          </w:p>
          <w:p>
            <w:pPr>
              <w:bidi w:val="0"/>
              <w:jc w:val="left"/>
              <w:rPr>
                <w:rFonts w:hint="eastAsia"/>
                <w:sz w:val="18"/>
                <w:szCs w:val="18"/>
                <w:vertAlign w:val="baseline"/>
                <w:lang w:val="en-US" w:eastAsia="zh-CN"/>
              </w:rPr>
            </w:pPr>
            <w:r>
              <w:rPr>
                <w:rFonts w:hint="eastAsia"/>
                <w:sz w:val="18"/>
                <w:szCs w:val="18"/>
                <w:vertAlign w:val="baseline"/>
                <w:lang w:val="en-US" w:eastAsia="zh-CN"/>
              </w:rPr>
              <w:t xml:space="preserve">  桥梁、勘探井位、灯桩、船舶导航、渔业养殖设施、浮标等相关需要警示场所。</w:t>
            </w:r>
          </w:p>
          <w:p>
            <w:pPr>
              <w:bidi w:val="0"/>
              <w:jc w:val="left"/>
              <w:rPr>
                <w:rFonts w:hint="eastAsia"/>
                <w:vertAlign w:val="baseline"/>
                <w:lang w:val="en-US" w:eastAsia="zh-CN"/>
              </w:rPr>
            </w:pPr>
            <w:r>
              <w:rPr>
                <w:rFonts w:hint="eastAsia"/>
                <w:vertAlign w:val="baseline"/>
                <w:lang w:val="en-US" w:eastAsia="zh-CN"/>
              </w:rPr>
              <w:t xml:space="preserve">  </w:t>
            </w:r>
          </w:p>
          <w:p>
            <w:pPr>
              <w:bidi w:val="0"/>
              <w:ind w:firstLine="211" w:firstLineChars="100"/>
              <w:jc w:val="left"/>
              <w:rPr>
                <w:rFonts w:hint="eastAsia"/>
                <w:b/>
                <w:bCs/>
                <w:vertAlign w:val="baseline"/>
                <w:lang w:val="en-US" w:eastAsia="zh-CN"/>
              </w:rPr>
            </w:pPr>
            <w:r>
              <w:rPr>
                <w:rFonts w:hint="eastAsia"/>
                <w:b/>
                <w:bCs/>
                <w:vertAlign w:val="baseline"/>
                <w:lang w:val="en-US" w:eastAsia="zh-CN"/>
              </w:rPr>
              <w:t>产品特性：</w:t>
            </w:r>
          </w:p>
          <w:p>
            <w:pPr>
              <w:shd w:val="solid" w:color="FFFFFF" w:fill="auto"/>
              <w:kinsoku/>
              <w:autoSpaceDE/>
              <w:autoSpaceDN w:val="0"/>
              <w:rPr>
                <w:rFonts w:hint="eastAsia"/>
                <w:b w:val="0"/>
                <w:bCs w:val="0"/>
                <w:snapToGrid/>
                <w:color w:val="000000"/>
                <w:sz w:val="18"/>
                <w:szCs w:val="18"/>
                <w:shd w:val="clear" w:color="auto" w:fill="FFFFFF"/>
                <w:lang w:val="en-US" w:eastAsia="zh-CN"/>
              </w:rPr>
            </w:pPr>
            <w:r>
              <w:rPr>
                <w:rFonts w:hint="eastAsia"/>
                <w:vertAlign w:val="baseline"/>
                <w:lang w:val="en-US" w:eastAsia="zh-CN"/>
              </w:rPr>
              <w:t xml:space="preserve"> </w:t>
            </w:r>
            <w:r>
              <w:rPr>
                <w:rFonts w:hint="eastAsia"/>
                <w:sz w:val="18"/>
                <w:szCs w:val="18"/>
                <w:vertAlign w:val="baseline"/>
                <w:lang w:val="en-US" w:eastAsia="zh-CN"/>
              </w:rPr>
              <w:t xml:space="preserve">  航标灯周边设计六块太阳能板，确保浮标被水流转动时和轮船不定向行驶时都能保持良好的充电状态。灯器外壳采用304不锈钢材质激光切割无缝焊接而成，表面经过高温喷塑烤漆工艺处理，提高海水腐蚀和抗风浪冲击等级。 驱动系统采用</w:t>
            </w:r>
            <w:r>
              <w:rPr>
                <w:rFonts w:hint="default"/>
                <w:b w:val="0"/>
                <w:bCs w:val="0"/>
                <w:snapToGrid/>
                <w:color w:val="000000"/>
                <w:sz w:val="18"/>
                <w:szCs w:val="18"/>
                <w:shd w:val="clear" w:color="auto" w:fill="FFFFFF"/>
                <w:lang w:eastAsia="zh-CN"/>
              </w:rPr>
              <w:t>微电脑芯片作为核心控制部件</w:t>
            </w:r>
            <w:r>
              <w:rPr>
                <w:rFonts w:hint="eastAsia"/>
                <w:b w:val="0"/>
                <w:bCs w:val="0"/>
                <w:snapToGrid/>
                <w:color w:val="000000"/>
                <w:sz w:val="18"/>
                <w:szCs w:val="18"/>
                <w:shd w:val="clear" w:color="auto" w:fill="FFFFFF"/>
                <w:lang w:eastAsia="zh-CN"/>
              </w:rPr>
              <w:t>；自动控制</w:t>
            </w:r>
            <w:r>
              <w:rPr>
                <w:rFonts w:hint="eastAsia"/>
                <w:b w:val="0"/>
                <w:bCs w:val="0"/>
                <w:snapToGrid/>
                <w:color w:val="000000"/>
                <w:sz w:val="18"/>
                <w:szCs w:val="18"/>
                <w:shd w:val="clear" w:color="auto" w:fill="FFFFFF"/>
                <w:lang w:val="en-US" w:eastAsia="zh-CN"/>
              </w:rPr>
              <w:t>LED光源</w:t>
            </w:r>
            <w:r>
              <w:rPr>
                <w:rFonts w:hint="eastAsia"/>
                <w:b w:val="0"/>
                <w:bCs w:val="0"/>
                <w:snapToGrid/>
                <w:color w:val="000000"/>
                <w:sz w:val="18"/>
                <w:szCs w:val="18"/>
                <w:shd w:val="clear" w:color="auto" w:fill="FFFFFF"/>
                <w:lang w:eastAsia="zh-CN"/>
              </w:rPr>
              <w:t>闪光和白天自动关、晚上自动开启程序。电路系统经过防湿气绝缘工艺处理。六块太阳能板镶嵌在底座上形成六边形结构，为蓄电池提供充足的动力能源。一次性充满电能保证航标灯连续阴雨天正常闪光。免维护蓄电池置于全密封底座内，可根据工程需要选装</w:t>
            </w:r>
            <w:r>
              <w:rPr>
                <w:rFonts w:hint="eastAsia"/>
                <w:b w:val="0"/>
                <w:bCs w:val="0"/>
                <w:snapToGrid/>
                <w:color w:val="000000"/>
                <w:sz w:val="18"/>
                <w:szCs w:val="18"/>
                <w:shd w:val="clear" w:color="auto" w:fill="FFFFFF"/>
                <w:lang w:val="en-US" w:eastAsia="zh-CN"/>
              </w:rPr>
              <w:t>GPS、BD、RTU功能，实现远程同步闪光和状态监控。</w:t>
            </w:r>
          </w:p>
          <w:p>
            <w:pPr>
              <w:shd w:val="solid" w:color="FFFFFF" w:fill="auto"/>
              <w:kinsoku/>
              <w:autoSpaceDE/>
              <w:autoSpaceDN w:val="0"/>
              <w:rPr>
                <w:rFonts w:hint="default"/>
                <w:b w:val="0"/>
                <w:bCs w:val="0"/>
                <w:snapToGrid/>
                <w:color w:val="000000"/>
                <w:sz w:val="18"/>
                <w:szCs w:val="18"/>
                <w:shd w:val="clear" w:color="auto" w:fill="FFFFFF"/>
                <w:lang w:val="en-US" w:eastAsia="zh-CN"/>
              </w:rPr>
            </w:pPr>
          </w:p>
          <w:p>
            <w:pPr>
              <w:bidi w:val="0"/>
              <w:ind w:firstLine="210" w:firstLineChars="100"/>
              <w:jc w:val="left"/>
              <w:rPr>
                <w:rFonts w:hint="eastAsia"/>
                <w:b/>
                <w:bCs/>
                <w:vertAlign w:val="baseline"/>
                <w:lang w:val="en-US" w:eastAsia="zh-CN"/>
              </w:rPr>
            </w:pPr>
            <w:r>
              <w:rPr>
                <w:rFonts w:hint="eastAsia"/>
                <w:vertAlign w:val="baseline"/>
                <w:lang w:val="en-US" w:eastAsia="zh-CN"/>
              </w:rPr>
              <w:t xml:space="preserve"> </w:t>
            </w:r>
            <w:r>
              <w:rPr>
                <w:rFonts w:hint="eastAsia"/>
                <w:b/>
                <w:bCs/>
                <w:vertAlign w:val="baseline"/>
                <w:lang w:val="en-US" w:eastAsia="zh-CN"/>
              </w:rPr>
              <w:t>技术参数：</w:t>
            </w:r>
          </w:p>
          <w:tbl>
            <w:tblPr>
              <w:tblStyle w:val="5"/>
              <w:tblpPr w:leftFromText="180" w:rightFromText="180" w:vertAnchor="text" w:horzAnchor="page" w:tblpX="240" w:tblpY="309"/>
              <w:tblOverlap w:val="never"/>
              <w:tblW w:w="5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3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光源类型</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高亮度LED（冷光源）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both"/>
                    <w:rPr>
                      <w:rFonts w:hint="default"/>
                      <w:b/>
                      <w:bCs/>
                      <w:sz w:val="18"/>
                      <w:szCs w:val="18"/>
                      <w:vertAlign w:val="baseline"/>
                      <w:lang w:val="en-US" w:eastAsia="zh-CN"/>
                    </w:rPr>
                  </w:pPr>
                  <w:r>
                    <w:rPr>
                      <w:rFonts w:hint="eastAsia"/>
                      <w:b w:val="0"/>
                      <w:bCs w:val="0"/>
                      <w:sz w:val="18"/>
                      <w:szCs w:val="18"/>
                      <w:vertAlign w:val="baseline"/>
                      <w:lang w:val="en-US" w:eastAsia="zh-CN"/>
                    </w:rPr>
                    <w:t>有效射程</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6海里（T=0.75)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光源颜色</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红、绿、黄、白、蓝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功率</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15W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电池规格</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DC12V/12AH免维护铅酸电池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太阳板规格</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18V/3Wx6块单晶硅太阳板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水平发光角度</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360</w:t>
                  </w:r>
                  <w:r>
                    <w:rPr>
                      <w:rFonts w:hint="default" w:ascii="Calibri" w:hAnsi="Calibri" w:cs="Calibri"/>
                      <w:b w:val="0"/>
                      <w:bCs w:val="0"/>
                      <w:sz w:val="18"/>
                      <w:szCs w:val="18"/>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闪光频率</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20-60次/每分钟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光控灵敏度</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50</w:t>
                  </w:r>
                  <w:r>
                    <w:rPr>
                      <w:rFonts w:hint="eastAsia" w:ascii="宋体" w:hAnsi="宋体" w:eastAsia="宋体" w:cs="宋体"/>
                      <w:b w:val="0"/>
                      <w:bCs w:val="0"/>
                      <w:sz w:val="18"/>
                      <w:szCs w:val="18"/>
                      <w:vertAlign w:val="baseline"/>
                      <w:lang w:val="en-US" w:eastAsia="zh-CN"/>
                    </w:rPr>
                    <w:t>～</w:t>
                  </w:r>
                  <w:r>
                    <w:rPr>
                      <w:rFonts w:hint="eastAsia"/>
                      <w:b w:val="0"/>
                      <w:bCs w:val="0"/>
                      <w:sz w:val="18"/>
                      <w:szCs w:val="18"/>
                      <w:vertAlign w:val="baseline"/>
                      <w:lang w:val="en-US" w:eastAsia="zh-CN"/>
                    </w:rPr>
                    <w:t>500Lux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工作温度</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ascii="宋体" w:hAnsi="宋体" w:eastAsia="宋体" w:cs="宋体"/>
                      <w:b w:val="0"/>
                      <w:bCs w:val="0"/>
                      <w:sz w:val="18"/>
                      <w:szCs w:val="18"/>
                      <w:vertAlign w:val="baseline"/>
                      <w:lang w:val="en-US" w:eastAsia="zh-CN"/>
                    </w:rPr>
                    <w:t>－</w:t>
                  </w:r>
                  <w:r>
                    <w:rPr>
                      <w:rFonts w:hint="eastAsia"/>
                      <w:b w:val="0"/>
                      <w:bCs w:val="0"/>
                      <w:sz w:val="18"/>
                      <w:szCs w:val="18"/>
                      <w:vertAlign w:val="baseline"/>
                      <w:lang w:val="en-US" w:eastAsia="zh-CN"/>
                    </w:rPr>
                    <w:t>45</w:t>
                  </w:r>
                  <w:r>
                    <w:rPr>
                      <w:rFonts w:hint="eastAsia" w:ascii="宋体" w:hAnsi="宋体" w:eastAsia="宋体" w:cs="宋体"/>
                      <w:b w:val="0"/>
                      <w:bCs w:val="0"/>
                      <w:sz w:val="18"/>
                      <w:szCs w:val="18"/>
                      <w:vertAlign w:val="baseline"/>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工作湿度</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10%</w:t>
                  </w:r>
                  <w:r>
                    <w:rPr>
                      <w:rFonts w:hint="eastAsia" w:ascii="宋体" w:hAnsi="宋体" w:eastAsia="宋体" w:cs="宋体"/>
                      <w:b w:val="0"/>
                      <w:bCs w:val="0"/>
                      <w:sz w:val="18"/>
                      <w:szCs w:val="18"/>
                      <w:vertAlign w:val="baseline"/>
                      <w:lang w:val="en-US" w:eastAsia="zh-CN"/>
                    </w:rPr>
                    <w:t>～</w:t>
                  </w:r>
                  <w:r>
                    <w:rPr>
                      <w:rFonts w:hint="eastAsia"/>
                      <w:b w:val="0"/>
                      <w:bCs w:val="0"/>
                      <w:sz w:val="18"/>
                      <w:szCs w:val="18"/>
                      <w:vertAlign w:val="baseline"/>
                      <w:lang w:val="en-US" w:eastAsia="zh-CN"/>
                    </w:rPr>
                    <w:t>95%（不凝结）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抗风等级</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165米/秒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防护等级</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IP65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光源寿命</w:t>
                  </w:r>
                </w:p>
              </w:tc>
              <w:tc>
                <w:tcPr>
                  <w:tcW w:w="3751" w:type="dxa"/>
                  <w:vAlign w:val="top"/>
                </w:tcPr>
                <w:p>
                  <w:pPr>
                    <w:bidi w:val="0"/>
                    <w:spacing w:line="240" w:lineRule="auto"/>
                    <w:jc w:val="left"/>
                    <w:rPr>
                      <w:rFonts w:hint="default"/>
                      <w:b/>
                      <w:bCs/>
                      <w:sz w:val="18"/>
                      <w:szCs w:val="18"/>
                      <w:vertAlign w:val="baseline"/>
                      <w:lang w:val="en-US" w:eastAsia="zh-CN"/>
                    </w:rPr>
                  </w:pPr>
                  <w:r>
                    <w:rPr>
                      <w:rFonts w:hint="default" w:ascii="Arial" w:hAnsi="Arial" w:cs="Arial"/>
                      <w:b w:val="0"/>
                      <w:bCs w:val="0"/>
                      <w:sz w:val="18"/>
                      <w:szCs w:val="18"/>
                      <w:vertAlign w:val="baseline"/>
                      <w:lang w:val="en-US" w:eastAsia="zh-CN"/>
                    </w:rPr>
                    <w:t>≥</w:t>
                  </w:r>
                  <w:r>
                    <w:rPr>
                      <w:rFonts w:hint="eastAsia"/>
                      <w:b w:val="0"/>
                      <w:bCs w:val="0"/>
                      <w:sz w:val="18"/>
                      <w:szCs w:val="18"/>
                      <w:vertAlign w:val="baseline"/>
                      <w:lang w:val="en-US" w:eastAsia="zh-CN"/>
                    </w:rPr>
                    <w:t>120,000h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连续阴雨天工作时间</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15天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参考重量</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18kg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材料</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底座：不锈钢喷塑、 灯罩：PC材料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top"/>
                </w:tcPr>
                <w:p>
                  <w:pPr>
                    <w:bidi w:val="0"/>
                    <w:spacing w:line="240" w:lineRule="auto"/>
                    <w:jc w:val="left"/>
                    <w:rPr>
                      <w:rFonts w:hint="default"/>
                      <w:b/>
                      <w:bCs/>
                      <w:sz w:val="18"/>
                      <w:szCs w:val="18"/>
                      <w:vertAlign w:val="baseline"/>
                      <w:lang w:val="en-US" w:eastAsia="zh-CN"/>
                    </w:rPr>
                  </w:pPr>
                  <w:r>
                    <w:rPr>
                      <w:rFonts w:hint="eastAsia"/>
                      <w:b w:val="0"/>
                      <w:bCs w:val="0"/>
                      <w:color w:val="auto"/>
                      <w:sz w:val="18"/>
                      <w:szCs w:val="18"/>
                      <w:shd w:val="clear" w:color="auto" w:fill="auto"/>
                      <w:vertAlign w:val="baseline"/>
                      <w:lang w:val="en-US" w:eastAsia="zh-CN"/>
                    </w:rPr>
                    <w:t>同步方式</w:t>
                  </w:r>
                </w:p>
              </w:tc>
              <w:tc>
                <w:tcPr>
                  <w:tcW w:w="3751" w:type="dxa"/>
                  <w:vAlign w:val="top"/>
                </w:tcPr>
                <w:p>
                  <w:pPr>
                    <w:bidi w:val="0"/>
                    <w:spacing w:line="240" w:lineRule="auto"/>
                    <w:jc w:val="left"/>
                    <w:rPr>
                      <w:rFonts w:hint="default"/>
                      <w:b/>
                      <w:bCs/>
                      <w:sz w:val="18"/>
                      <w:szCs w:val="18"/>
                      <w:vertAlign w:val="baseline"/>
                      <w:lang w:val="en-US" w:eastAsia="zh-CN"/>
                    </w:rPr>
                  </w:pPr>
                  <w:r>
                    <w:rPr>
                      <w:rFonts w:hint="eastAsia"/>
                      <w:b w:val="0"/>
                      <w:bCs w:val="0"/>
                      <w:sz w:val="18"/>
                      <w:szCs w:val="18"/>
                      <w:vertAlign w:val="baseline"/>
                      <w:lang w:val="en-US" w:eastAsia="zh-CN"/>
                    </w:rPr>
                    <w:t>加装GPS模块实现无线同步闪光</w:t>
                  </w:r>
                </w:p>
              </w:tc>
            </w:tr>
          </w:tbl>
          <w:p>
            <w:pPr>
              <w:bidi w:val="0"/>
              <w:jc w:val="left"/>
              <w:rPr>
                <w:rFonts w:hint="default"/>
                <w:b/>
                <w:bCs/>
                <w:vertAlign w:val="baseline"/>
                <w:lang w:val="en-US" w:eastAsia="zh-CN"/>
              </w:rPr>
            </w:pPr>
          </w:p>
          <w:p>
            <w:pPr>
              <w:numPr>
                <w:ilvl w:val="0"/>
                <w:numId w:val="0"/>
              </w:numPr>
              <w:bidi w:val="0"/>
              <w:ind w:left="210" w:leftChars="0"/>
              <w:jc w:val="left"/>
              <w:rPr>
                <w:rFonts w:hint="default"/>
                <w:vertAlign w:val="baseline"/>
                <w:lang w:val="en-US" w:eastAsia="zh-CN"/>
              </w:rPr>
            </w:pPr>
          </w:p>
          <w:p>
            <w:pPr>
              <w:numPr>
                <w:ilvl w:val="0"/>
                <w:numId w:val="0"/>
              </w:numPr>
              <w:bidi w:val="0"/>
              <w:jc w:val="left"/>
              <w:rPr>
                <w:rFonts w:hint="default"/>
                <w:vertAlign w:val="baseline"/>
                <w:lang w:val="en-US" w:eastAsia="zh-CN"/>
              </w:rPr>
            </w:pPr>
          </w:p>
        </w:tc>
      </w:tr>
    </w:tbl>
    <w:p>
      <w:pPr>
        <w:bidi w:val="0"/>
        <w:ind w:firstLine="3780" w:firstLineChars="1800"/>
        <w:jc w:val="left"/>
        <w:rPr>
          <w:rFonts w:hint="eastAsia" w:asciiTheme="minorEastAsia" w:hAnsiTheme="minorEastAsia" w:eastAsiaTheme="minorEastAsia" w:cstheme="minorEastAsia"/>
          <w:b/>
          <w:bCs/>
          <w:lang w:val="en-US" w:eastAsia="zh-CN"/>
        </w:rPr>
      </w:pPr>
      <w:r>
        <w:rPr>
          <w:rFonts w:hint="eastAsia"/>
          <w:lang w:val="en-US" w:eastAsia="zh-CN"/>
        </w:rPr>
        <w:t xml:space="preserve"> </w:t>
      </w:r>
      <w:r>
        <w:rPr>
          <w:rFonts w:hint="eastAsia"/>
          <w:b/>
          <w:bCs/>
          <w:lang w:val="en-US" w:eastAsia="zh-CN"/>
        </w:rPr>
        <w:t>产品型号：THD-155型 太阳能一体化航标灯</w:t>
      </w:r>
    </w:p>
    <w:sectPr>
      <w:headerReference r:id="rId3" w:type="default"/>
      <w:pgSz w:w="11906" w:h="16838"/>
      <w:pgMar w:top="-394" w:right="446" w:bottom="519" w:left="540" w:header="27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rPr>
        <w:rFonts w:hint="default" w:eastAsiaTheme="minorEastAsia"/>
        <w:lang w:val="en-US" w:eastAsia="zh-CN"/>
      </w:rPr>
    </w:pPr>
    <w:r>
      <w:drawing>
        <wp:inline distT="0" distB="0" distL="114300" distR="114300">
          <wp:extent cx="553085" cy="607695"/>
          <wp:effectExtent l="0" t="0" r="18415" b="1905"/>
          <wp:docPr id="3" name="图片 2" descr="新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新LOGO"/>
                  <pic:cNvPicPr>
                    <a:picLocks noChangeAspect="1"/>
                  </pic:cNvPicPr>
                </pic:nvPicPr>
                <pic:blipFill>
                  <a:blip r:embed="rId1"/>
                  <a:stretch>
                    <a:fillRect/>
                  </a:stretch>
                </pic:blipFill>
                <pic:spPr>
                  <a:xfrm>
                    <a:off x="0" y="0"/>
                    <a:ext cx="553085" cy="607695"/>
                  </a:xfrm>
                  <a:prstGeom prst="rect">
                    <a:avLst/>
                  </a:prstGeom>
                  <a:noFill/>
                  <a:ln>
                    <a:noFill/>
                  </a:ln>
                </pic:spPr>
              </pic:pic>
            </a:graphicData>
          </a:graphic>
        </wp:inline>
      </w:drawing>
    </w:r>
    <w:r>
      <w:rPr>
        <w:rFonts w:hint="eastAsia"/>
        <w:lang w:val="en-US" w:eastAsia="zh-CN"/>
      </w:rPr>
      <w:t xml:space="preserve"> </w:t>
    </w:r>
    <w:r>
      <w:rPr>
        <w:rFonts w:hint="eastAsia"/>
        <w:sz w:val="24"/>
        <w:szCs w:val="24"/>
        <w:lang w:val="en-US" w:eastAsia="zh-CN"/>
      </w:rPr>
      <w:t xml:space="preserve"> </w:t>
    </w:r>
    <w:r>
      <w:rPr>
        <w:rFonts w:hint="eastAsia"/>
        <w:b/>
        <w:bCs/>
        <w:sz w:val="24"/>
        <w:szCs w:val="24"/>
        <w:lang w:eastAsia="zh-CN"/>
      </w:rPr>
      <w:t>上海伟程航标设备有限公司</w:t>
    </w:r>
    <w:r>
      <w:rPr>
        <w:rFonts w:hint="eastAsia"/>
        <w:b/>
        <w:bCs/>
        <w:sz w:val="24"/>
        <w:szCs w:val="24"/>
        <w:lang w:val="en-US" w:eastAsia="zh-CN"/>
      </w:rPr>
      <w:t xml:space="preserve">                                  </w:t>
    </w:r>
    <w:r>
      <w:rPr>
        <w:rFonts w:hint="eastAsia"/>
        <w:b/>
        <w:bCs/>
        <w:sz w:val="18"/>
        <w:szCs w:val="18"/>
        <w:lang w:val="en-US" w:eastAsia="zh-CN"/>
      </w:rPr>
      <w:t xml:space="preserve"> 网址：www.weichenghb.com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582038"/>
    <w:rsid w:val="013A7441"/>
    <w:rsid w:val="01C50F9D"/>
    <w:rsid w:val="07787BF2"/>
    <w:rsid w:val="11C45A49"/>
    <w:rsid w:val="1A400845"/>
    <w:rsid w:val="1E5945AC"/>
    <w:rsid w:val="22EB6F27"/>
    <w:rsid w:val="289D6E54"/>
    <w:rsid w:val="365809A6"/>
    <w:rsid w:val="383771B3"/>
    <w:rsid w:val="3AE93A32"/>
    <w:rsid w:val="3AFB2535"/>
    <w:rsid w:val="418C3AD9"/>
    <w:rsid w:val="45A05875"/>
    <w:rsid w:val="49582038"/>
    <w:rsid w:val="4D8455F2"/>
    <w:rsid w:val="515338CE"/>
    <w:rsid w:val="5698336C"/>
    <w:rsid w:val="5DBF7AC6"/>
    <w:rsid w:val="668D06AF"/>
    <w:rsid w:val="7236580F"/>
    <w:rsid w:val="72A15EA6"/>
    <w:rsid w:val="74423BEE"/>
    <w:rsid w:val="77F53482"/>
    <w:rsid w:val="7C2611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000000" w:themeColor="text1"/>
      <w:kern w:val="2"/>
      <w:sz w:val="21"/>
      <w:szCs w:val="24"/>
      <w:lang w:val="en-US" w:eastAsia="zh-CN" w:bidi="ar-SA"/>
      <w14:textFill>
        <w14:solidFill>
          <w14:schemeClr w14:val="tx1"/>
        </w14:solidFill>
      </w14:textFill>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511</Words>
  <Characters>591</Characters>
  <Lines>0</Lines>
  <Paragraphs>0</Paragraphs>
  <TotalTime>3</TotalTime>
  <ScaleCrop>false</ScaleCrop>
  <LinksUpToDate>false</LinksUpToDate>
  <CharactersWithSpaces>693</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2020-02-10T08:36:00Z</dcterms:created>
  <dc:creator>Administrator</dc:creator>
  <cp:lastModifiedBy>apple</cp:lastModifiedBy>
  <cp:lastPrinted>2020-02-21T13:17:00Z</cp:lastPrinted>
  <dcterms:modified xsi:type="dcterms:W3CDTF">2023-04-21T05:49:44Z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F5FA45B83A9A433C89871AC020ACDED0</vt:lpwstr>
  </property>
</Properties>
</file>